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53F2F" w14:textId="0F5717A5" w:rsidR="00700EF5" w:rsidRPr="00014E64" w:rsidRDefault="00700EF5" w:rsidP="00700EF5">
      <w:pPr>
        <w:pStyle w:val="3GPPHeader"/>
        <w:spacing w:after="60"/>
        <w:rPr>
          <w:sz w:val="32"/>
          <w:szCs w:val="32"/>
          <w:highlight w:val="yellow"/>
          <w:lang w:val="de-DE"/>
        </w:rPr>
      </w:pPr>
      <w:r w:rsidRPr="00014E64">
        <w:rPr>
          <w:lang w:val="de-DE"/>
        </w:rPr>
        <w:t>3GPP TSG-RAN WG2 #99</w:t>
      </w:r>
      <w:r w:rsidR="00040B12" w:rsidRPr="00014E64">
        <w:rPr>
          <w:lang w:val="de-DE"/>
        </w:rPr>
        <w:t>bis</w:t>
      </w:r>
      <w:r w:rsidRPr="00014E64">
        <w:rPr>
          <w:lang w:val="de-DE"/>
        </w:rPr>
        <w:tab/>
      </w:r>
      <w:r w:rsidRPr="00014E64">
        <w:rPr>
          <w:sz w:val="32"/>
          <w:szCs w:val="32"/>
          <w:lang w:val="de-DE"/>
        </w:rPr>
        <w:t xml:space="preserve">Tdoc </w:t>
      </w:r>
      <w:r w:rsidR="00014E64" w:rsidRPr="00014E64">
        <w:rPr>
          <w:sz w:val="32"/>
          <w:szCs w:val="32"/>
          <w:lang w:val="de-DE"/>
        </w:rPr>
        <w:t>R2-1711523</w:t>
      </w:r>
    </w:p>
    <w:p w14:paraId="2ED5B9C1" w14:textId="77777777" w:rsidR="00700EF5" w:rsidRPr="00CE0424" w:rsidRDefault="00700EF5" w:rsidP="00700EF5">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5843E61F" w14:textId="39C73AC2" w:rsidR="00E90E49" w:rsidRPr="00CE0424" w:rsidRDefault="00B42141" w:rsidP="00357380">
      <w:pPr>
        <w:pStyle w:val="3GPPHeader"/>
      </w:pPr>
      <w:r>
        <w:tab/>
      </w:r>
      <w:r>
        <w:tab/>
      </w:r>
    </w:p>
    <w:p w14:paraId="3FE01844" w14:textId="0D229C67"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DB7E61">
        <w:rPr>
          <w:sz w:val="22"/>
          <w:szCs w:val="22"/>
          <w:lang w:val="sv-SE"/>
        </w:rPr>
        <w:t xml:space="preserve">10.4.3.4 - NR - Stage-3 CP - Capabilities - </w:t>
      </w:r>
      <w:r w:rsidR="00DB7E61" w:rsidRPr="00DB7E61">
        <w:rPr>
          <w:sz w:val="22"/>
          <w:szCs w:val="22"/>
          <w:lang w:val="sv-SE"/>
        </w:rPr>
        <w:t>Other aspects for EN-DC</w:t>
      </w:r>
    </w:p>
    <w:p w14:paraId="130FBCD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DCCA9FF" w14:textId="3EFE426D" w:rsidR="00E90E49" w:rsidRPr="00CE0424" w:rsidRDefault="003D3C45" w:rsidP="00311702">
      <w:pPr>
        <w:pStyle w:val="3GPPHeader"/>
        <w:rPr>
          <w:sz w:val="22"/>
          <w:szCs w:val="22"/>
        </w:rPr>
      </w:pPr>
      <w:r>
        <w:rPr>
          <w:sz w:val="22"/>
          <w:szCs w:val="22"/>
        </w:rPr>
        <w:t>Title:</w:t>
      </w:r>
      <w:r w:rsidR="00E90E49" w:rsidRPr="00CE0424">
        <w:rPr>
          <w:sz w:val="22"/>
          <w:szCs w:val="22"/>
        </w:rPr>
        <w:tab/>
      </w:r>
      <w:r w:rsidR="006865C6">
        <w:rPr>
          <w:sz w:val="22"/>
          <w:szCs w:val="22"/>
        </w:rPr>
        <w:t xml:space="preserve">L2 Buffer Size </w:t>
      </w:r>
      <w:r w:rsidR="008C01FC">
        <w:rPr>
          <w:sz w:val="22"/>
          <w:szCs w:val="22"/>
        </w:rPr>
        <w:t>capability</w:t>
      </w:r>
    </w:p>
    <w:p w14:paraId="0FA27B53" w14:textId="6BA68D63" w:rsidR="00E90E49" w:rsidRDefault="00E90E49" w:rsidP="00D546FF">
      <w:pPr>
        <w:pStyle w:val="3GPPHeader"/>
        <w:rPr>
          <w:sz w:val="22"/>
          <w:szCs w:val="22"/>
        </w:rPr>
      </w:pPr>
      <w:r w:rsidRPr="00CE0424">
        <w:rPr>
          <w:sz w:val="22"/>
          <w:szCs w:val="22"/>
        </w:rPr>
        <w:t>Document for:</w:t>
      </w:r>
      <w:r w:rsidRPr="00CE0424">
        <w:rPr>
          <w:sz w:val="22"/>
          <w:szCs w:val="22"/>
        </w:rPr>
        <w:tab/>
      </w:r>
      <w:r w:rsidRPr="003A1344">
        <w:rPr>
          <w:sz w:val="22"/>
          <w:szCs w:val="22"/>
        </w:rPr>
        <w:t>Decision</w:t>
      </w:r>
    </w:p>
    <w:p w14:paraId="72D82D34" w14:textId="77777777" w:rsidR="00C24345" w:rsidRDefault="00E90E49" w:rsidP="00A2052C">
      <w:pPr>
        <w:pStyle w:val="Heading1"/>
      </w:pPr>
      <w:r w:rsidRPr="00CE0424">
        <w:t>Introduction</w:t>
      </w:r>
    </w:p>
    <w:p w14:paraId="597A82CC" w14:textId="77777777" w:rsidR="008D20C6" w:rsidRDefault="008D20C6" w:rsidP="00A2052C">
      <w:r>
        <w:t xml:space="preserve">At RAN2-99 it was agreed that the network determines the UL and DL data rate supported by a UE from the band combination table and from the other (baseband) capabilities. Hence, the UE does not need to signal a UE category explicitly. Consequently, unlike LTE, 38.306 will not list the supported data rates in tables explicitly. </w:t>
      </w:r>
    </w:p>
    <w:p w14:paraId="6A4B266A" w14:textId="47207CC0" w:rsidR="00A2052C" w:rsidRDefault="008D20C6" w:rsidP="00A2052C">
      <w:r>
        <w:t xml:space="preserve">Besides the L1 data rate (TBS per subframe) 36.306 listed also the L2 buffer size capability for each UE category. But because of the agreement not to signal and use explicit UE categories, also the L2 buffer size must be determined by means of a specified formula. </w:t>
      </w:r>
    </w:p>
    <w:p w14:paraId="445E9F00" w14:textId="5DED6306" w:rsidR="008D20C6" w:rsidRPr="00A2052C" w:rsidRDefault="008D20C6" w:rsidP="00A2052C">
      <w:r>
        <w:t xml:space="preserve">In this </w:t>
      </w:r>
      <w:r w:rsidR="004347C7">
        <w:t>paper,</w:t>
      </w:r>
      <w:r>
        <w:t xml:space="preserve"> we discuss how to do that and what additional input is required from RAN1. </w:t>
      </w:r>
    </w:p>
    <w:p w14:paraId="600D9A88" w14:textId="01727B10" w:rsidR="004000E8" w:rsidRDefault="004000E8" w:rsidP="00CE0424">
      <w:pPr>
        <w:pStyle w:val="Heading1"/>
      </w:pPr>
      <w:bookmarkStart w:id="0" w:name="_Ref178064866"/>
      <w:r w:rsidRPr="00CE0424">
        <w:t>Discussion</w:t>
      </w:r>
      <w:bookmarkEnd w:id="0"/>
    </w:p>
    <w:p w14:paraId="736F25F3" w14:textId="2CC3C0BB" w:rsidR="00C70F09" w:rsidRDefault="00C70F09" w:rsidP="00C70F09">
      <w:pPr>
        <w:pStyle w:val="Heading2"/>
      </w:pPr>
      <w:r>
        <w:t>L2 Buffer Size for Single Connectivity</w:t>
      </w:r>
    </w:p>
    <w:p w14:paraId="1FE7C897" w14:textId="5C427A6C" w:rsidR="00B129AE" w:rsidRDefault="00B129AE" w:rsidP="00B129AE">
      <w:r>
        <w:t xml:space="preserve">Traditionally </w:t>
      </w:r>
      <w:r>
        <w:fldChar w:fldCharType="begin"/>
      </w:r>
      <w:r>
        <w:instrText xml:space="preserve"> REF _Ref408235075 \r \h </w:instrText>
      </w:r>
      <w:r>
        <w:fldChar w:fldCharType="separate"/>
      </w:r>
      <w:r w:rsidR="00997BE3">
        <w:t>[1]</w:t>
      </w:r>
      <w:r>
        <w:fldChar w:fldCharType="end"/>
      </w:r>
      <w:r>
        <w:t xml:space="preserve"> RAN2 used a formula to determine the required L2 buffers size:</w:t>
      </w:r>
    </w:p>
    <w:p w14:paraId="2956D521" w14:textId="786CFBA5" w:rsidR="00B129AE" w:rsidRPr="004F4926" w:rsidRDefault="00004EC6" w:rsidP="004F4926">
      <w:pPr>
        <w:jc w:val="center"/>
        <w:rPr>
          <w:i/>
        </w:rPr>
      </w:pPr>
      <w:r w:rsidRPr="004F4926">
        <w:rPr>
          <w:i/>
        </w:rPr>
        <w:t>Minimum RLC Buffer Size = MaxDLDataRate * RoundTripTime + MaxULDataRate * RoundTripTime</w:t>
      </w:r>
    </w:p>
    <w:p w14:paraId="07FEDAD6" w14:textId="57C7E415" w:rsidR="004F4926" w:rsidRDefault="00962EFF" w:rsidP="00B129AE">
      <w:r>
        <w:t>It</w:t>
      </w:r>
      <w:r w:rsidR="004F4926">
        <w:t xml:space="preserve"> can be seen that the formula uses the UL and DL L1 data rates as input. In LTE these L1 data rates were traditionally provided by RAN1 as UL and DL categories (</w:t>
      </w:r>
      <w:r w:rsidR="004F4926" w:rsidRPr="004F4926">
        <w:rPr>
          <w:i/>
        </w:rPr>
        <w:t>number of transport block bits per TTI</w:t>
      </w:r>
      <w:r w:rsidR="004F4926">
        <w:t>).</w:t>
      </w:r>
    </w:p>
    <w:p w14:paraId="04EE2E13" w14:textId="75B84B06" w:rsidR="003742AC" w:rsidRDefault="006865C6" w:rsidP="006865C6">
      <w:pPr>
        <w:pStyle w:val="Observation"/>
      </w:pPr>
      <w:bookmarkStart w:id="1" w:name="_Toc494197988"/>
      <w:bookmarkStart w:id="2" w:name="_Toc494210977"/>
      <w:bookmarkStart w:id="3" w:name="_Toc494354364"/>
      <w:bookmarkStart w:id="4" w:name="_Toc494372312"/>
      <w:bookmarkStart w:id="5" w:name="_Toc494372606"/>
      <w:bookmarkStart w:id="6" w:name="_Toc494400594"/>
      <w:bookmarkStart w:id="7" w:name="_Toc494403543"/>
      <w:bookmarkStart w:id="8" w:name="_Toc494404892"/>
      <w:r>
        <w:t>For each UE category RAN2 defined the L2 buffer size using a formula using the L1 data rate and the expected RTT as input parameters.</w:t>
      </w:r>
      <w:bookmarkEnd w:id="1"/>
      <w:bookmarkEnd w:id="2"/>
      <w:bookmarkEnd w:id="3"/>
      <w:bookmarkEnd w:id="4"/>
      <w:bookmarkEnd w:id="5"/>
      <w:bookmarkEnd w:id="6"/>
      <w:bookmarkEnd w:id="7"/>
      <w:bookmarkEnd w:id="8"/>
    </w:p>
    <w:p w14:paraId="10E6DF45" w14:textId="60F5D9CE" w:rsidR="0095409B" w:rsidRDefault="0095409B" w:rsidP="0095409B">
      <w:r>
        <w:t xml:space="preserve">The L2 RTT of NR will hopefully be lower than that of LTE and the L1 data rates of NR may be higher than in </w:t>
      </w:r>
      <w:r w:rsidR="00962EFF">
        <w:t>LTE</w:t>
      </w:r>
      <w:r>
        <w:t>. Even though exact values are not decided yet, RAN2 can already decide to use the same formula as in LTE.</w:t>
      </w:r>
    </w:p>
    <w:p w14:paraId="2CE914FB" w14:textId="4542C2E4" w:rsidR="0095409B" w:rsidRDefault="0095409B" w:rsidP="002A1363">
      <w:pPr>
        <w:pStyle w:val="Proposal"/>
      </w:pPr>
      <w:bookmarkStart w:id="9" w:name="_Toc494197990"/>
      <w:bookmarkStart w:id="10" w:name="_Toc494210978"/>
      <w:bookmarkStart w:id="11" w:name="_Toc494354365"/>
      <w:bookmarkStart w:id="12" w:name="_Ref494372150"/>
      <w:bookmarkStart w:id="13" w:name="_Toc494372315"/>
      <w:bookmarkStart w:id="14" w:name="_Toc494372610"/>
      <w:bookmarkStart w:id="15" w:name="_Toc494400597"/>
      <w:bookmarkStart w:id="16" w:name="_Toc494403545"/>
      <w:bookmarkStart w:id="17" w:name="_Toc494404894"/>
      <w:r>
        <w:t xml:space="preserve">The same formula </w:t>
      </w:r>
      <w:r w:rsidR="002A1363">
        <w:t xml:space="preserve">as in LTE </w:t>
      </w:r>
      <w:r w:rsidR="00865776">
        <w:t xml:space="preserve">is </w:t>
      </w:r>
      <w:r>
        <w:t>used to determine the required L2 buffer size in NR</w:t>
      </w:r>
      <w:r w:rsidR="002A1363">
        <w:t xml:space="preserve">: </w:t>
      </w:r>
      <w:bookmarkEnd w:id="9"/>
      <w:r w:rsidR="002A1363" w:rsidRPr="002A1363">
        <w:t xml:space="preserve">Minimum </w:t>
      </w:r>
      <w:r w:rsidR="006D4FCB">
        <w:t>L2</w:t>
      </w:r>
      <w:r w:rsidR="002A1363" w:rsidRPr="002A1363">
        <w:t xml:space="preserve"> Buffer Size = MaxDLDataRate * RoundTripTime + MaxULDataRate * RoundTripTime</w:t>
      </w:r>
      <w:bookmarkEnd w:id="10"/>
      <w:bookmarkEnd w:id="11"/>
      <w:bookmarkEnd w:id="12"/>
      <w:bookmarkEnd w:id="13"/>
      <w:bookmarkEnd w:id="14"/>
      <w:bookmarkEnd w:id="15"/>
      <w:bookmarkEnd w:id="16"/>
      <w:bookmarkEnd w:id="17"/>
    </w:p>
    <w:p w14:paraId="0B4D2399" w14:textId="2FE7399C" w:rsidR="00C70F09" w:rsidRDefault="00C70F09" w:rsidP="00C70F09">
      <w:pPr>
        <w:pStyle w:val="Heading2"/>
      </w:pPr>
      <w:r>
        <w:t>L2 Buffer Size for Dual Connectivity</w:t>
      </w:r>
    </w:p>
    <w:p w14:paraId="2632C566" w14:textId="0BB34AEC" w:rsidR="00C70F09" w:rsidRDefault="00C70F09" w:rsidP="00C70F09">
      <w:r>
        <w:t xml:space="preserve">For Dual Connectivity, not only the latency of the radio interface but also the additional delay due to the transport network had to be taken into account </w:t>
      </w:r>
      <w:r>
        <w:fldChar w:fldCharType="begin"/>
      </w:r>
      <w:r>
        <w:instrText xml:space="preserve"> REF _Ref494354992 \r \h </w:instrText>
      </w:r>
      <w:r>
        <w:fldChar w:fldCharType="separate"/>
      </w:r>
      <w:r w:rsidR="00997BE3">
        <w:t>[2]</w:t>
      </w:r>
      <w:r>
        <w:fldChar w:fldCharType="end"/>
      </w:r>
      <w:r>
        <w:t xml:space="preserve"> resulting in the following formula: </w:t>
      </w:r>
    </w:p>
    <w:p w14:paraId="04CBAFC7" w14:textId="77777777" w:rsidR="00C70F09" w:rsidRPr="006D4FCB" w:rsidRDefault="00C70F09" w:rsidP="00C70F09">
      <w:pPr>
        <w:jc w:val="center"/>
        <w:rPr>
          <w:i/>
        </w:rPr>
      </w:pPr>
      <w:r w:rsidRPr="006D4FCB">
        <w:rPr>
          <w:i/>
        </w:rPr>
        <w:t>Minimum L2 Buffer Size = MaxULDataRate * RTT + MaxDLDataRate_SeNB * RTT + MaxDLDataRate_MeNB * (RTT + X2 delay + Queuing in SeNB)</w:t>
      </w:r>
    </w:p>
    <w:p w14:paraId="152310FB" w14:textId="77777777" w:rsidR="00C70F09" w:rsidRDefault="00C70F09" w:rsidP="00C70F09">
      <w:pPr>
        <w:pStyle w:val="Observation"/>
      </w:pPr>
      <w:bookmarkStart w:id="18" w:name="_Toc494372314"/>
      <w:bookmarkStart w:id="19" w:name="_Toc494372608"/>
      <w:bookmarkStart w:id="20" w:name="_Toc494400596"/>
      <w:bookmarkStart w:id="21" w:name="_Toc494403544"/>
      <w:bookmarkStart w:id="22" w:name="_Toc494404893"/>
      <w:r>
        <w:t>For dual connectivity, also the transport network delay and the additional queuing delay in the secondary node must be taken into account.</w:t>
      </w:r>
      <w:bookmarkEnd w:id="18"/>
      <w:bookmarkEnd w:id="19"/>
      <w:bookmarkEnd w:id="20"/>
      <w:bookmarkEnd w:id="21"/>
      <w:bookmarkEnd w:id="22"/>
      <w:r>
        <w:t xml:space="preserve"> </w:t>
      </w:r>
    </w:p>
    <w:p w14:paraId="447F92AA" w14:textId="77777777" w:rsidR="00C70F09" w:rsidRDefault="00C70F09" w:rsidP="00C70F09"/>
    <w:p w14:paraId="4D5A45F1" w14:textId="4ABAAD91" w:rsidR="00865776" w:rsidRDefault="00865776" w:rsidP="00865776">
      <w:pPr>
        <w:pStyle w:val="Proposal"/>
      </w:pPr>
      <w:bookmarkStart w:id="23" w:name="_Ref494371887"/>
      <w:bookmarkStart w:id="24" w:name="_Toc494372316"/>
      <w:bookmarkStart w:id="25" w:name="_Toc494372611"/>
      <w:bookmarkStart w:id="26" w:name="_Toc494400598"/>
      <w:bookmarkStart w:id="27" w:name="_Toc494403546"/>
      <w:bookmarkStart w:id="28" w:name="_Toc494404895"/>
      <w:r>
        <w:t xml:space="preserve">The same formula as in LTE DC is used to determine the required L2 buffer size in NR/MR-DC: </w:t>
      </w:r>
      <w:r w:rsidRPr="006D4FCB">
        <w:t>MaxULDataRate * RTT + MaxDLDataRate_SeNB</w:t>
      </w:r>
      <w:bookmarkStart w:id="29" w:name="_GoBack"/>
      <w:bookmarkEnd w:id="29"/>
      <w:r w:rsidRPr="006D4FCB">
        <w:t xml:space="preserve"> * RTT + MaxDLDataRate_MeNB * (RTT + X</w:t>
      </w:r>
      <w:r>
        <w:t>n</w:t>
      </w:r>
      <w:r w:rsidRPr="006D4FCB">
        <w:t xml:space="preserve"> delay + Queuing in SN)</w:t>
      </w:r>
      <w:bookmarkEnd w:id="23"/>
      <w:bookmarkEnd w:id="24"/>
      <w:bookmarkEnd w:id="25"/>
      <w:bookmarkEnd w:id="26"/>
      <w:bookmarkEnd w:id="27"/>
      <w:bookmarkEnd w:id="28"/>
    </w:p>
    <w:p w14:paraId="2000CB7D" w14:textId="701241AC" w:rsidR="00A018D3" w:rsidRDefault="007C1D0D" w:rsidP="007C1D0D">
      <w:pPr>
        <w:pStyle w:val="Heading2"/>
      </w:pPr>
      <w:r>
        <w:t>The L1 data rate</w:t>
      </w:r>
    </w:p>
    <w:p w14:paraId="26C08D47" w14:textId="74B4F142" w:rsidR="00CB1520" w:rsidRDefault="007C1D0D" w:rsidP="0095409B">
      <w:r>
        <w:t xml:space="preserve">According to </w:t>
      </w:r>
      <w:r>
        <w:fldChar w:fldCharType="begin"/>
      </w:r>
      <w:r>
        <w:instrText xml:space="preserve"> REF _Ref494372150 \r \h </w:instrText>
      </w:r>
      <w:r>
        <w:fldChar w:fldCharType="separate"/>
      </w:r>
      <w:r w:rsidR="00997BE3">
        <w:t>Proposal 1</w:t>
      </w:r>
      <w:r>
        <w:fldChar w:fldCharType="end"/>
      </w:r>
      <w:r>
        <w:t xml:space="preserve"> and </w:t>
      </w:r>
      <w:r>
        <w:fldChar w:fldCharType="begin"/>
      </w:r>
      <w:r>
        <w:instrText xml:space="preserve"> REF _Ref494371887 \r \h </w:instrText>
      </w:r>
      <w:r>
        <w:fldChar w:fldCharType="separate"/>
      </w:r>
      <w:r w:rsidR="00997BE3">
        <w:t>Proposal 2</w:t>
      </w:r>
      <w:r>
        <w:fldChar w:fldCharType="end"/>
      </w:r>
      <w:r>
        <w:t xml:space="preserve">, the L2 buffer size is determined by a formula using the L1 data rate (and the RTT) as input parameter. </w:t>
      </w:r>
      <w:r w:rsidR="0095409B">
        <w:t xml:space="preserve">RAN2 </w:t>
      </w:r>
      <w:r w:rsidR="00CB1520">
        <w:t xml:space="preserve">decided </w:t>
      </w:r>
      <w:r w:rsidR="004778D8">
        <w:fldChar w:fldCharType="begin"/>
      </w:r>
      <w:r w:rsidR="004778D8">
        <w:instrText xml:space="preserve"> REF _Ref494372275 \r \h </w:instrText>
      </w:r>
      <w:r w:rsidR="004778D8">
        <w:fldChar w:fldCharType="separate"/>
      </w:r>
      <w:r w:rsidR="00997BE3">
        <w:t>[3]</w:t>
      </w:r>
      <w:r w:rsidR="004778D8">
        <w:fldChar w:fldCharType="end"/>
      </w:r>
      <w:r w:rsidR="004778D8">
        <w:t xml:space="preserve"> </w:t>
      </w:r>
      <w:r w:rsidR="0095409B">
        <w:t>to derive the NR L1 data rate from the band combinations and the baseband capabilities rather than defining UE categories. Both, RAN1 and RAN4 agreed with that intention</w:t>
      </w:r>
      <w:r w:rsidR="004778D8">
        <w:t xml:space="preserve"> </w:t>
      </w:r>
      <w:r w:rsidR="004778D8">
        <w:fldChar w:fldCharType="begin"/>
      </w:r>
      <w:r w:rsidR="004778D8">
        <w:instrText xml:space="preserve"> REF _Ref494372292 \r \h </w:instrText>
      </w:r>
      <w:r w:rsidR="004778D8">
        <w:fldChar w:fldCharType="separate"/>
      </w:r>
      <w:r w:rsidR="00997BE3">
        <w:t>[4]</w:t>
      </w:r>
      <w:r w:rsidR="004778D8">
        <w:fldChar w:fldCharType="end"/>
      </w:r>
      <w:r w:rsidR="004778D8">
        <w:fldChar w:fldCharType="begin"/>
      </w:r>
      <w:r w:rsidR="004778D8">
        <w:instrText xml:space="preserve"> REF _Ref494372294 \r \h </w:instrText>
      </w:r>
      <w:r w:rsidR="004778D8">
        <w:fldChar w:fldCharType="separate"/>
      </w:r>
      <w:r w:rsidR="00997BE3">
        <w:t>[5]</w:t>
      </w:r>
      <w:r w:rsidR="004778D8">
        <w:fldChar w:fldCharType="end"/>
      </w:r>
      <w:r w:rsidR="0095409B">
        <w:t xml:space="preserve">. </w:t>
      </w:r>
    </w:p>
    <w:p w14:paraId="1B59DBB9" w14:textId="7886B451" w:rsidR="0095409B" w:rsidRDefault="00CB1520" w:rsidP="0095409B">
      <w:r>
        <w:t>Consequently, t</w:t>
      </w:r>
      <w:r w:rsidR="004778D8">
        <w:t xml:space="preserve">o </w:t>
      </w:r>
      <w:r w:rsidR="0095409B">
        <w:t xml:space="preserve">determine the L2 buffer size using the above-mentioned formula, the RAN2 specification (38.306) must refer to a L1 data rate and hence we suggest the following: </w:t>
      </w:r>
    </w:p>
    <w:p w14:paraId="6561C80F" w14:textId="77777777" w:rsidR="006865C6" w:rsidRDefault="006865C6" w:rsidP="006865C6">
      <w:pPr>
        <w:pStyle w:val="Proposal"/>
      </w:pPr>
      <w:bookmarkStart w:id="30" w:name="_Toc494197991"/>
      <w:bookmarkStart w:id="31" w:name="_Toc494210979"/>
      <w:bookmarkStart w:id="32" w:name="_Toc494354366"/>
      <w:bookmarkStart w:id="33" w:name="_Toc494372318"/>
      <w:bookmarkStart w:id="34" w:name="_Toc494372613"/>
      <w:bookmarkStart w:id="35" w:name="_Toc494400599"/>
      <w:bookmarkStart w:id="36" w:name="_Toc494403547"/>
      <w:bookmarkStart w:id="37" w:name="_Toc494404896"/>
      <w:r>
        <w:t>Ask RAN1 to provide a formula for determining the L1 data rate from the UE’s band combinations and baseband capabilities as proposed by RAN2-99.</w:t>
      </w:r>
      <w:bookmarkEnd w:id="30"/>
      <w:bookmarkEnd w:id="31"/>
      <w:bookmarkEnd w:id="32"/>
      <w:bookmarkEnd w:id="33"/>
      <w:bookmarkEnd w:id="34"/>
      <w:bookmarkEnd w:id="35"/>
      <w:bookmarkEnd w:id="36"/>
      <w:bookmarkEnd w:id="37"/>
    </w:p>
    <w:p w14:paraId="7344D930" w14:textId="7C5DD1F6" w:rsidR="006865C6" w:rsidRPr="00CE0424" w:rsidRDefault="006865C6" w:rsidP="006865C6">
      <w:pPr>
        <w:pStyle w:val="Proposal"/>
      </w:pPr>
      <w:bookmarkStart w:id="38" w:name="_Toc494197992"/>
      <w:bookmarkStart w:id="39" w:name="_Toc494210980"/>
      <w:bookmarkStart w:id="40" w:name="_Toc494354367"/>
      <w:bookmarkStart w:id="41" w:name="_Toc494372319"/>
      <w:bookmarkStart w:id="42" w:name="_Toc494372614"/>
      <w:bookmarkStart w:id="43" w:name="_Toc494400600"/>
      <w:bookmarkStart w:id="44" w:name="_Toc494403548"/>
      <w:bookmarkStart w:id="45" w:name="_Toc494404897"/>
      <w:r>
        <w:t>Capture the formula for determining the L1 data rate and the formula</w:t>
      </w:r>
      <w:r w:rsidR="00757538">
        <w:t>s</w:t>
      </w:r>
      <w:r>
        <w:t xml:space="preserve"> for determining the L2 buffer size </w:t>
      </w:r>
      <w:r w:rsidR="00997BE3">
        <w:t xml:space="preserve">(using the L1 data rate as input) </w:t>
      </w:r>
      <w:r>
        <w:t>in 38.306.</w:t>
      </w:r>
      <w:bookmarkEnd w:id="38"/>
      <w:bookmarkEnd w:id="39"/>
      <w:bookmarkEnd w:id="40"/>
      <w:bookmarkEnd w:id="41"/>
      <w:bookmarkEnd w:id="42"/>
      <w:bookmarkEnd w:id="43"/>
      <w:bookmarkEnd w:id="44"/>
      <w:bookmarkEnd w:id="45"/>
    </w:p>
    <w:p w14:paraId="334CFC4D" w14:textId="77777777" w:rsidR="00C01F33" w:rsidRPr="00CE0424" w:rsidRDefault="00C01F33" w:rsidP="00CE0424">
      <w:pPr>
        <w:pStyle w:val="Heading1"/>
      </w:pPr>
      <w:r w:rsidRPr="00CE0424">
        <w:t>Conclusion</w:t>
      </w:r>
    </w:p>
    <w:p w14:paraId="2F8AEAAD" w14:textId="77777777" w:rsidR="00997BE3"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97BE3">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F59B175" w14:textId="77777777" w:rsidR="00997BE3" w:rsidRPr="00997BE3" w:rsidRDefault="00997BE3">
      <w:pPr>
        <w:pStyle w:val="TOC1"/>
        <w:rPr>
          <w:rFonts w:asciiTheme="minorHAnsi" w:eastAsiaTheme="minorEastAsia" w:hAnsiTheme="minorHAnsi" w:cstheme="minorBidi"/>
          <w:b w:val="0"/>
          <w:sz w:val="22"/>
          <w:lang w:val="en-GB" w:eastAsia="de-DE"/>
        </w:rPr>
      </w:pPr>
      <w:r>
        <w:t>Observation 1</w:t>
      </w:r>
      <w:r w:rsidRPr="00997BE3">
        <w:rPr>
          <w:rFonts w:asciiTheme="minorHAnsi" w:eastAsiaTheme="minorEastAsia" w:hAnsiTheme="minorHAnsi" w:cstheme="minorBidi"/>
          <w:b w:val="0"/>
          <w:sz w:val="22"/>
          <w:lang w:val="en-GB" w:eastAsia="de-DE"/>
        </w:rPr>
        <w:tab/>
      </w:r>
      <w:r>
        <w:t>For each UE category RAN2 defined the L2 buffer size using a formula using the L1 data rate and the expected RTT as input parameters.</w:t>
      </w:r>
    </w:p>
    <w:p w14:paraId="2EF9C1B4" w14:textId="77777777" w:rsidR="00997BE3" w:rsidRPr="00997BE3" w:rsidRDefault="00997BE3">
      <w:pPr>
        <w:pStyle w:val="TOC1"/>
        <w:rPr>
          <w:rFonts w:asciiTheme="minorHAnsi" w:eastAsiaTheme="minorEastAsia" w:hAnsiTheme="minorHAnsi" w:cstheme="minorBidi"/>
          <w:b w:val="0"/>
          <w:sz w:val="22"/>
          <w:lang w:val="en-GB" w:eastAsia="de-DE"/>
        </w:rPr>
      </w:pPr>
      <w:r>
        <w:t>Observation 2</w:t>
      </w:r>
      <w:r w:rsidRPr="00997BE3">
        <w:rPr>
          <w:rFonts w:asciiTheme="minorHAnsi" w:eastAsiaTheme="minorEastAsia" w:hAnsiTheme="minorHAnsi" w:cstheme="minorBidi"/>
          <w:b w:val="0"/>
          <w:sz w:val="22"/>
          <w:lang w:val="en-GB" w:eastAsia="de-DE"/>
        </w:rPr>
        <w:tab/>
      </w:r>
      <w:r>
        <w:t>For dual connectivity, also the transport network delay and the additional queuing delay in the secondary node must be taken into account.</w:t>
      </w:r>
    </w:p>
    <w:p w14:paraId="1384511E" w14:textId="77777777" w:rsidR="008E065E" w:rsidRDefault="008E065E" w:rsidP="008E065E">
      <w:pPr>
        <w:pStyle w:val="BodyText"/>
        <w:rPr>
          <w:b/>
          <w:bCs/>
        </w:rPr>
      </w:pPr>
      <w:r>
        <w:rPr>
          <w:b/>
          <w:bCs/>
        </w:rPr>
        <w:fldChar w:fldCharType="end"/>
      </w:r>
    </w:p>
    <w:p w14:paraId="39C7DC9E" w14:textId="77777777" w:rsidR="00997BE3"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97BE3">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36774D0" w14:textId="77777777" w:rsidR="00997BE3" w:rsidRPr="00997BE3" w:rsidRDefault="00997BE3">
      <w:pPr>
        <w:pStyle w:val="TOC1"/>
        <w:rPr>
          <w:rFonts w:asciiTheme="minorHAnsi" w:eastAsiaTheme="minorEastAsia" w:hAnsiTheme="minorHAnsi" w:cstheme="minorBidi"/>
          <w:b w:val="0"/>
          <w:sz w:val="22"/>
          <w:lang w:val="en-GB" w:eastAsia="de-DE"/>
        </w:rPr>
      </w:pPr>
      <w:r>
        <w:t>Proposal 1</w:t>
      </w:r>
      <w:r w:rsidRPr="00997BE3">
        <w:rPr>
          <w:rFonts w:asciiTheme="minorHAnsi" w:eastAsiaTheme="minorEastAsia" w:hAnsiTheme="minorHAnsi" w:cstheme="minorBidi"/>
          <w:b w:val="0"/>
          <w:sz w:val="22"/>
          <w:lang w:val="en-GB" w:eastAsia="de-DE"/>
        </w:rPr>
        <w:tab/>
      </w:r>
      <w:r>
        <w:t>The same formula as in LTE is used to determine the required L2 buffer size in NR: Minimum L2 Buffer Size = MaxDLDataRate * RoundTripTime + MaxULDataRate * RoundTripTime</w:t>
      </w:r>
    </w:p>
    <w:p w14:paraId="72F91A1D" w14:textId="77777777" w:rsidR="00997BE3" w:rsidRPr="00997BE3" w:rsidRDefault="00997BE3">
      <w:pPr>
        <w:pStyle w:val="TOC1"/>
        <w:rPr>
          <w:rFonts w:asciiTheme="minorHAnsi" w:eastAsiaTheme="minorEastAsia" w:hAnsiTheme="minorHAnsi" w:cstheme="minorBidi"/>
          <w:b w:val="0"/>
          <w:sz w:val="22"/>
          <w:lang w:val="en-GB" w:eastAsia="de-DE"/>
        </w:rPr>
      </w:pPr>
      <w:r>
        <w:t>Proposal 2</w:t>
      </w:r>
      <w:r w:rsidRPr="00997BE3">
        <w:rPr>
          <w:rFonts w:asciiTheme="minorHAnsi" w:eastAsiaTheme="minorEastAsia" w:hAnsiTheme="minorHAnsi" w:cstheme="minorBidi"/>
          <w:b w:val="0"/>
          <w:sz w:val="22"/>
          <w:lang w:val="en-GB" w:eastAsia="de-DE"/>
        </w:rPr>
        <w:tab/>
      </w:r>
      <w:r>
        <w:t>The same formula as in LTE DC is used to determine the required L2 buffer size in NR/MR-DC: MaxULDataRate * RTT + MaxDLDataRate_SeNB * RTT + MaxDLDataRate_MeNB * (RTT + Xn delay + Queuing in SN)</w:t>
      </w:r>
    </w:p>
    <w:p w14:paraId="596BC079" w14:textId="77777777" w:rsidR="00997BE3" w:rsidRPr="00997BE3" w:rsidRDefault="00997BE3">
      <w:pPr>
        <w:pStyle w:val="TOC1"/>
        <w:rPr>
          <w:rFonts w:asciiTheme="minorHAnsi" w:eastAsiaTheme="minorEastAsia" w:hAnsiTheme="minorHAnsi" w:cstheme="minorBidi"/>
          <w:b w:val="0"/>
          <w:sz w:val="22"/>
          <w:lang w:val="en-GB" w:eastAsia="de-DE"/>
        </w:rPr>
      </w:pPr>
      <w:r>
        <w:t>Proposal 3</w:t>
      </w:r>
      <w:r w:rsidRPr="00997BE3">
        <w:rPr>
          <w:rFonts w:asciiTheme="minorHAnsi" w:eastAsiaTheme="minorEastAsia" w:hAnsiTheme="minorHAnsi" w:cstheme="minorBidi"/>
          <w:b w:val="0"/>
          <w:sz w:val="22"/>
          <w:lang w:val="en-GB" w:eastAsia="de-DE"/>
        </w:rPr>
        <w:tab/>
      </w:r>
      <w:r>
        <w:t>Ask RAN1 to provide a formula for determining the L1 data rate from the UE’s band combinations and baseband capabilities as proposed by RAN2-99.</w:t>
      </w:r>
    </w:p>
    <w:p w14:paraId="15C3B834" w14:textId="77777777" w:rsidR="00997BE3" w:rsidRPr="00997BE3" w:rsidRDefault="00997BE3">
      <w:pPr>
        <w:pStyle w:val="TOC1"/>
        <w:rPr>
          <w:rFonts w:asciiTheme="minorHAnsi" w:eastAsiaTheme="minorEastAsia" w:hAnsiTheme="minorHAnsi" w:cstheme="minorBidi"/>
          <w:b w:val="0"/>
          <w:sz w:val="22"/>
          <w:lang w:val="en-GB" w:eastAsia="de-DE"/>
        </w:rPr>
      </w:pPr>
      <w:r>
        <w:t>Proposal 4</w:t>
      </w:r>
      <w:r w:rsidRPr="00997BE3">
        <w:rPr>
          <w:rFonts w:asciiTheme="minorHAnsi" w:eastAsiaTheme="minorEastAsia" w:hAnsiTheme="minorHAnsi" w:cstheme="minorBidi"/>
          <w:b w:val="0"/>
          <w:sz w:val="22"/>
          <w:lang w:val="en-GB" w:eastAsia="de-DE"/>
        </w:rPr>
        <w:tab/>
      </w:r>
      <w:r>
        <w:t>Capture the formula for determining the L1 data rate and the formulas for determining the L2 buffer size (using the L1 data rate as input) in 38.306.</w:t>
      </w:r>
    </w:p>
    <w:p w14:paraId="05E4EF3A" w14:textId="77777777" w:rsidR="008E065E" w:rsidRPr="00CE0424" w:rsidRDefault="008E065E" w:rsidP="008E065E">
      <w:pPr>
        <w:rPr>
          <w:b/>
          <w:bCs/>
        </w:rPr>
      </w:pPr>
      <w:r>
        <w:rPr>
          <w:b/>
          <w:bCs/>
        </w:rPr>
        <w:fldChar w:fldCharType="end"/>
      </w:r>
    </w:p>
    <w:p w14:paraId="118FF565" w14:textId="77777777" w:rsidR="00C01F33" w:rsidRPr="00CE0424" w:rsidRDefault="00C01F33" w:rsidP="006E062C"/>
    <w:p w14:paraId="5AC5CF60" w14:textId="77777777" w:rsidR="00F507D1" w:rsidRPr="00CE0424" w:rsidRDefault="00F507D1" w:rsidP="00CE0424">
      <w:pPr>
        <w:pStyle w:val="Heading1"/>
      </w:pPr>
      <w:bookmarkStart w:id="46" w:name="_In-sequence_SDU_delivery"/>
      <w:bookmarkEnd w:id="46"/>
      <w:r w:rsidRPr="00CE0424">
        <w:t>References</w:t>
      </w:r>
    </w:p>
    <w:bookmarkStart w:id="47" w:name="_Ref408235075"/>
    <w:p w14:paraId="24471C8F" w14:textId="49B84896" w:rsidR="00A33F4D" w:rsidRDefault="00A33F4D" w:rsidP="00A33F4D">
      <w:pPr>
        <w:pStyle w:val="Reference"/>
        <w:numPr>
          <w:ilvl w:val="0"/>
          <w:numId w:val="16"/>
        </w:numPr>
        <w:textAlignment w:val="auto"/>
      </w:pPr>
      <w:r>
        <w:fldChar w:fldCharType="begin"/>
      </w:r>
      <w:r>
        <w:instrText xml:space="preserve"> HYPERLINK "http://3gpp.org/ftp/tsg_ran/WG2_RL2/TSGR2_62/Docs/R2-082406.zip" </w:instrText>
      </w:r>
      <w:r>
        <w:fldChar w:fldCharType="separate"/>
      </w:r>
      <w:r>
        <w:rPr>
          <w:rStyle w:val="Hyperlink"/>
        </w:rPr>
        <w:t>R2-082406</w:t>
      </w:r>
      <w:r>
        <w:fldChar w:fldCharType="end"/>
      </w:r>
      <w:r>
        <w:t xml:space="preserve">, </w:t>
      </w:r>
      <w:r>
        <w:rPr>
          <w:iCs/>
        </w:rPr>
        <w:t>Discussion on the L2 buffer size, Ericsson, RAN2#</w:t>
      </w:r>
      <w:r>
        <w:rPr>
          <w:lang w:val="en-US"/>
        </w:rPr>
        <w:t>62,</w:t>
      </w:r>
      <w:r>
        <w:rPr>
          <w:iCs/>
          <w:lang w:val="en-US"/>
        </w:rPr>
        <w:t xml:space="preserve"> </w:t>
      </w:r>
      <w:r>
        <w:t>Kansas City, USA, May 5</w:t>
      </w:r>
      <w:r>
        <w:rPr>
          <w:vertAlign w:val="superscript"/>
        </w:rPr>
        <w:t>th</w:t>
      </w:r>
      <w:r>
        <w:t xml:space="preserve"> – 9</w:t>
      </w:r>
      <w:r>
        <w:rPr>
          <w:vertAlign w:val="superscript"/>
        </w:rPr>
        <w:t>th</w:t>
      </w:r>
      <w:r>
        <w:t>, 2008</w:t>
      </w:r>
      <w:bookmarkEnd w:id="47"/>
    </w:p>
    <w:bookmarkStart w:id="48" w:name="_Ref494354992"/>
    <w:p w14:paraId="5A6684D9" w14:textId="66A56697" w:rsidR="003605D2" w:rsidRDefault="00A926A7" w:rsidP="003605D2">
      <w:pPr>
        <w:pStyle w:val="Reference"/>
        <w:numPr>
          <w:ilvl w:val="0"/>
          <w:numId w:val="16"/>
        </w:numPr>
        <w:textAlignment w:val="auto"/>
      </w:pPr>
      <w:r>
        <w:fldChar w:fldCharType="begin"/>
      </w:r>
      <w:r>
        <w:instrText xml:space="preserve"> HYPERLINK "ftp://ftp.3gpp.org/tsg_ran/WG2_RL2/TSGR2_89/Docs//R2-150218.zip" </w:instrText>
      </w:r>
      <w:r>
        <w:fldChar w:fldCharType="separate"/>
      </w:r>
      <w:r w:rsidR="003605D2" w:rsidRPr="003605D2">
        <w:rPr>
          <w:rStyle w:val="Hyperlink"/>
        </w:rPr>
        <w:t>R2-150218</w:t>
      </w:r>
      <w:r>
        <w:rPr>
          <w:rStyle w:val="Hyperlink"/>
        </w:rPr>
        <w:fldChar w:fldCharType="end"/>
      </w:r>
      <w:r w:rsidR="003605D2">
        <w:t xml:space="preserve">, </w:t>
      </w:r>
      <w:r w:rsidR="003605D2" w:rsidRPr="003605D2">
        <w:t>L2 buffer sizes for Dual Connectivity</w:t>
      </w:r>
      <w:r w:rsidR="003605D2">
        <w:t xml:space="preserve">, Ericsson, RAN2-89, </w:t>
      </w:r>
      <w:r w:rsidR="003605D2" w:rsidRPr="003605D2">
        <w:t>Athens, Greece, 9–13 Feb 2015</w:t>
      </w:r>
      <w:bookmarkEnd w:id="48"/>
    </w:p>
    <w:bookmarkStart w:id="49" w:name="_Ref494372275"/>
    <w:p w14:paraId="5283BD33" w14:textId="12DA530E" w:rsidR="008D20C6" w:rsidRDefault="007D7269" w:rsidP="007D7269">
      <w:pPr>
        <w:pStyle w:val="Reference"/>
        <w:numPr>
          <w:ilvl w:val="0"/>
          <w:numId w:val="16"/>
        </w:numPr>
        <w:textAlignment w:val="auto"/>
      </w:pPr>
      <w:r>
        <w:fldChar w:fldCharType="begin"/>
      </w:r>
      <w:r>
        <w:instrText xml:space="preserve"> HYPERLINK "ftp://ftp.3gpp.org/tsg_ran/WG2_RL2/TSGR2_99/Docs//R2-1709979.zip" </w:instrText>
      </w:r>
      <w:r>
        <w:fldChar w:fldCharType="separate"/>
      </w:r>
      <w:r w:rsidRPr="007D7269">
        <w:rPr>
          <w:rStyle w:val="Hyperlink"/>
        </w:rPr>
        <w:t>R2-1709979</w:t>
      </w:r>
      <w:r>
        <w:fldChar w:fldCharType="end"/>
      </w:r>
      <w:r>
        <w:t xml:space="preserve">, </w:t>
      </w:r>
      <w:r w:rsidRPr="007D7269">
        <w:t>LS on UE categories and capabilities</w:t>
      </w:r>
      <w:r>
        <w:t xml:space="preserve">, from RAN2, RAN2-99, </w:t>
      </w:r>
      <w:r w:rsidRPr="007D7269">
        <w:t>Berlin, Germany, 21st – 25th August 2017</w:t>
      </w:r>
      <w:bookmarkEnd w:id="49"/>
    </w:p>
    <w:p w14:paraId="775D3A0C" w14:textId="1286A565" w:rsidR="004F6AC7" w:rsidRDefault="004F6AC7" w:rsidP="00670502">
      <w:pPr>
        <w:pStyle w:val="Reference"/>
        <w:numPr>
          <w:ilvl w:val="0"/>
          <w:numId w:val="16"/>
        </w:numPr>
        <w:textAlignment w:val="auto"/>
      </w:pPr>
      <w:bookmarkStart w:id="50" w:name="_Ref494372292"/>
      <w:r>
        <w:t>R4-1709904</w:t>
      </w:r>
      <w:r w:rsidR="00670502">
        <w:t xml:space="preserve">, </w:t>
      </w:r>
      <w:r w:rsidR="00670502" w:rsidRPr="00670502">
        <w:t xml:space="preserve">Reply LS </w:t>
      </w:r>
      <w:r w:rsidR="00670502">
        <w:t>on</w:t>
      </w:r>
      <w:r w:rsidR="00670502" w:rsidRPr="00670502">
        <w:t xml:space="preserve"> NR UE categories and UE capabilities</w:t>
      </w:r>
      <w:r w:rsidR="00670502">
        <w:t xml:space="preserve">, from RAN4, </w:t>
      </w:r>
      <w:r w:rsidR="00670502" w:rsidRPr="00670502">
        <w:t>Nagoya, Japan, 18th-21st Sep 2017</w:t>
      </w:r>
      <w:bookmarkEnd w:id="50"/>
    </w:p>
    <w:p w14:paraId="518231FC" w14:textId="174117AA" w:rsidR="00670502" w:rsidRDefault="00670502" w:rsidP="00670502">
      <w:pPr>
        <w:pStyle w:val="Reference"/>
        <w:numPr>
          <w:ilvl w:val="0"/>
          <w:numId w:val="16"/>
        </w:numPr>
        <w:textAlignment w:val="auto"/>
      </w:pPr>
      <w:bookmarkStart w:id="51" w:name="_Ref494372294"/>
      <w:r w:rsidRPr="00670502">
        <w:lastRenderedPageBreak/>
        <w:t>R1-1716924</w:t>
      </w:r>
      <w:r>
        <w:t xml:space="preserve">, </w:t>
      </w:r>
      <w:r w:rsidRPr="00670502">
        <w:t>Reply LS on UE categories and capabilities</w:t>
      </w:r>
      <w:r>
        <w:t xml:space="preserve">, from RAN1, </w:t>
      </w:r>
      <w:r w:rsidRPr="00670502">
        <w:t>Nagoya, Japan, 18th – 21st, September 2017</w:t>
      </w:r>
      <w:bookmarkEnd w:id="51"/>
    </w:p>
    <w:p w14:paraId="3194726E"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3953A" w14:textId="77777777" w:rsidR="00FC6EC0" w:rsidRDefault="00FC6EC0">
      <w:r>
        <w:separator/>
      </w:r>
    </w:p>
  </w:endnote>
  <w:endnote w:type="continuationSeparator" w:id="0">
    <w:p w14:paraId="27E021C9" w14:textId="77777777" w:rsidR="00FC6EC0" w:rsidRDefault="00FC6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9C863" w14:textId="39489AB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7BE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7BE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F7BD4" w14:textId="77777777" w:rsidR="00FC6EC0" w:rsidRDefault="00FC6EC0">
      <w:r>
        <w:separator/>
      </w:r>
    </w:p>
  </w:footnote>
  <w:footnote w:type="continuationSeparator" w:id="0">
    <w:p w14:paraId="2306F009" w14:textId="77777777" w:rsidR="00FC6EC0" w:rsidRDefault="00FC6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C47F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5C6"/>
    <w:rsid w:val="000006E1"/>
    <w:rsid w:val="00002A37"/>
    <w:rsid w:val="000039F4"/>
    <w:rsid w:val="00004EC6"/>
    <w:rsid w:val="00006446"/>
    <w:rsid w:val="00006896"/>
    <w:rsid w:val="00007CDC"/>
    <w:rsid w:val="00011B28"/>
    <w:rsid w:val="00014E64"/>
    <w:rsid w:val="00015D15"/>
    <w:rsid w:val="0002564D"/>
    <w:rsid w:val="00025ECA"/>
    <w:rsid w:val="000325B8"/>
    <w:rsid w:val="00034C15"/>
    <w:rsid w:val="00036BA1"/>
    <w:rsid w:val="00040B12"/>
    <w:rsid w:val="000422E2"/>
    <w:rsid w:val="00042F22"/>
    <w:rsid w:val="000444EF"/>
    <w:rsid w:val="00044B6B"/>
    <w:rsid w:val="00052A07"/>
    <w:rsid w:val="000534E3"/>
    <w:rsid w:val="0005606A"/>
    <w:rsid w:val="00057117"/>
    <w:rsid w:val="000616E7"/>
    <w:rsid w:val="00061A8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363"/>
    <w:rsid w:val="002A1D4E"/>
    <w:rsid w:val="002A2869"/>
    <w:rsid w:val="002B24D6"/>
    <w:rsid w:val="002C41E6"/>
    <w:rsid w:val="002D071A"/>
    <w:rsid w:val="002D34B2"/>
    <w:rsid w:val="002D7637"/>
    <w:rsid w:val="002E17F2"/>
    <w:rsid w:val="002E49AE"/>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05D2"/>
    <w:rsid w:val="00370E47"/>
    <w:rsid w:val="003742AC"/>
    <w:rsid w:val="00377CE1"/>
    <w:rsid w:val="00385BF0"/>
    <w:rsid w:val="003939FF"/>
    <w:rsid w:val="003A1344"/>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F4C"/>
    <w:rsid w:val="00413AAC"/>
    <w:rsid w:val="00421105"/>
    <w:rsid w:val="004242F4"/>
    <w:rsid w:val="00427248"/>
    <w:rsid w:val="004347C7"/>
    <w:rsid w:val="00437447"/>
    <w:rsid w:val="00441A92"/>
    <w:rsid w:val="00444F56"/>
    <w:rsid w:val="00446488"/>
    <w:rsid w:val="004517AA"/>
    <w:rsid w:val="00452CAC"/>
    <w:rsid w:val="00457565"/>
    <w:rsid w:val="00457B71"/>
    <w:rsid w:val="004669E2"/>
    <w:rsid w:val="00470C31"/>
    <w:rsid w:val="004734D0"/>
    <w:rsid w:val="0047556B"/>
    <w:rsid w:val="00477768"/>
    <w:rsid w:val="004778D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926"/>
    <w:rsid w:val="004F4DA3"/>
    <w:rsid w:val="004F6AC7"/>
    <w:rsid w:val="00506557"/>
    <w:rsid w:val="0050677A"/>
    <w:rsid w:val="005108D8"/>
    <w:rsid w:val="005116F9"/>
    <w:rsid w:val="005153A7"/>
    <w:rsid w:val="005219CF"/>
    <w:rsid w:val="00534B59"/>
    <w:rsid w:val="00536759"/>
    <w:rsid w:val="00537C62"/>
    <w:rsid w:val="00546970"/>
    <w:rsid w:val="00547812"/>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17F1"/>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502"/>
    <w:rsid w:val="00670922"/>
    <w:rsid w:val="00670BE1"/>
    <w:rsid w:val="0067218F"/>
    <w:rsid w:val="006741F2"/>
    <w:rsid w:val="00674CC3"/>
    <w:rsid w:val="00675C72"/>
    <w:rsid w:val="006771F9"/>
    <w:rsid w:val="006776D7"/>
    <w:rsid w:val="00681003"/>
    <w:rsid w:val="006817C9"/>
    <w:rsid w:val="00683ECE"/>
    <w:rsid w:val="006865C6"/>
    <w:rsid w:val="00695FC2"/>
    <w:rsid w:val="00696949"/>
    <w:rsid w:val="00697052"/>
    <w:rsid w:val="006A46FB"/>
    <w:rsid w:val="006A5E28"/>
    <w:rsid w:val="006A697B"/>
    <w:rsid w:val="006A7AFF"/>
    <w:rsid w:val="006B1816"/>
    <w:rsid w:val="006B2099"/>
    <w:rsid w:val="006B50CF"/>
    <w:rsid w:val="006B5C00"/>
    <w:rsid w:val="006C03B8"/>
    <w:rsid w:val="006C5EC9"/>
    <w:rsid w:val="006C6059"/>
    <w:rsid w:val="006C7522"/>
    <w:rsid w:val="006D4FCB"/>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57538"/>
    <w:rsid w:val="007604B2"/>
    <w:rsid w:val="00765281"/>
    <w:rsid w:val="00766BAD"/>
    <w:rsid w:val="00770B5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D0D"/>
    <w:rsid w:val="007C3D18"/>
    <w:rsid w:val="007C60BF"/>
    <w:rsid w:val="007C6A07"/>
    <w:rsid w:val="007C75A1"/>
    <w:rsid w:val="007C77A5"/>
    <w:rsid w:val="007D04E5"/>
    <w:rsid w:val="007D3F65"/>
    <w:rsid w:val="007D5901"/>
    <w:rsid w:val="007D7269"/>
    <w:rsid w:val="007D7526"/>
    <w:rsid w:val="007E4610"/>
    <w:rsid w:val="007E4715"/>
    <w:rsid w:val="007E505B"/>
    <w:rsid w:val="007E7091"/>
    <w:rsid w:val="00803FAE"/>
    <w:rsid w:val="0080605F"/>
    <w:rsid w:val="00807786"/>
    <w:rsid w:val="00811E81"/>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5776"/>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1FC"/>
    <w:rsid w:val="008C0C99"/>
    <w:rsid w:val="008C2017"/>
    <w:rsid w:val="008C4958"/>
    <w:rsid w:val="008C4BAA"/>
    <w:rsid w:val="008C6AE8"/>
    <w:rsid w:val="008C7573"/>
    <w:rsid w:val="008D20C6"/>
    <w:rsid w:val="008D34F1"/>
    <w:rsid w:val="008D39D8"/>
    <w:rsid w:val="008D6D1A"/>
    <w:rsid w:val="008E065E"/>
    <w:rsid w:val="008E0927"/>
    <w:rsid w:val="008E1909"/>
    <w:rsid w:val="008E24B2"/>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409B"/>
    <w:rsid w:val="0095681E"/>
    <w:rsid w:val="009572D4"/>
    <w:rsid w:val="00961921"/>
    <w:rsid w:val="00962EFF"/>
    <w:rsid w:val="0096430A"/>
    <w:rsid w:val="0096554B"/>
    <w:rsid w:val="0096584A"/>
    <w:rsid w:val="00971F08"/>
    <w:rsid w:val="0097603D"/>
    <w:rsid w:val="00976949"/>
    <w:rsid w:val="00980477"/>
    <w:rsid w:val="00985253"/>
    <w:rsid w:val="009853B3"/>
    <w:rsid w:val="009904AD"/>
    <w:rsid w:val="00990630"/>
    <w:rsid w:val="00991761"/>
    <w:rsid w:val="00994DCA"/>
    <w:rsid w:val="009960EC"/>
    <w:rsid w:val="009970DD"/>
    <w:rsid w:val="00997BE3"/>
    <w:rsid w:val="009A0FBA"/>
    <w:rsid w:val="009A1601"/>
    <w:rsid w:val="009A3909"/>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18D3"/>
    <w:rsid w:val="00A048A8"/>
    <w:rsid w:val="00A04F49"/>
    <w:rsid w:val="00A12859"/>
    <w:rsid w:val="00A13E54"/>
    <w:rsid w:val="00A17F63"/>
    <w:rsid w:val="00A2050D"/>
    <w:rsid w:val="00A2052C"/>
    <w:rsid w:val="00A2193B"/>
    <w:rsid w:val="00A2351A"/>
    <w:rsid w:val="00A264A9"/>
    <w:rsid w:val="00A27785"/>
    <w:rsid w:val="00A30187"/>
    <w:rsid w:val="00A33F4D"/>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6A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29AE"/>
    <w:rsid w:val="00B157F9"/>
    <w:rsid w:val="00B20256"/>
    <w:rsid w:val="00B20D09"/>
    <w:rsid w:val="00B2763F"/>
    <w:rsid w:val="00B27AAC"/>
    <w:rsid w:val="00B30929"/>
    <w:rsid w:val="00B372AA"/>
    <w:rsid w:val="00B40445"/>
    <w:rsid w:val="00B41888"/>
    <w:rsid w:val="00B42141"/>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76A"/>
    <w:rsid w:val="00BD48AC"/>
    <w:rsid w:val="00BD5F1A"/>
    <w:rsid w:val="00BE1234"/>
    <w:rsid w:val="00BE2FA6"/>
    <w:rsid w:val="00BE333F"/>
    <w:rsid w:val="00BE65F6"/>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4A42"/>
    <w:rsid w:val="00C279B5"/>
    <w:rsid w:val="00C27C45"/>
    <w:rsid w:val="00C3719D"/>
    <w:rsid w:val="00C54995"/>
    <w:rsid w:val="00C54D41"/>
    <w:rsid w:val="00C60783"/>
    <w:rsid w:val="00C64672"/>
    <w:rsid w:val="00C70697"/>
    <w:rsid w:val="00C70F09"/>
    <w:rsid w:val="00C72EF4"/>
    <w:rsid w:val="00C75D2F"/>
    <w:rsid w:val="00C767BE"/>
    <w:rsid w:val="00C76E3C"/>
    <w:rsid w:val="00C81568"/>
    <w:rsid w:val="00C9027A"/>
    <w:rsid w:val="00C9068E"/>
    <w:rsid w:val="00C93C4B"/>
    <w:rsid w:val="00C944AB"/>
    <w:rsid w:val="00C95B40"/>
    <w:rsid w:val="00CA1ED8"/>
    <w:rsid w:val="00CB1520"/>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30F"/>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67FB"/>
    <w:rsid w:val="00DB0A9F"/>
    <w:rsid w:val="00DB377D"/>
    <w:rsid w:val="00DB7E61"/>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6168"/>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02F"/>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2C7"/>
    <w:rsid w:val="00F30828"/>
    <w:rsid w:val="00F313D6"/>
    <w:rsid w:val="00F40F0C"/>
    <w:rsid w:val="00F4766C"/>
    <w:rsid w:val="00F507D1"/>
    <w:rsid w:val="00F519CE"/>
    <w:rsid w:val="00F51ADA"/>
    <w:rsid w:val="00F5294E"/>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6EC0"/>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B4577"/>
  <w15:chartTrackingRefBased/>
  <w15:docId w15:val="{3AC4E15A-D89D-4F29-94F1-4CC4C267B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BE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97BE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97BE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97BE3"/>
    <w:pPr>
      <w:numPr>
        <w:ilvl w:val="2"/>
      </w:numPr>
      <w:spacing w:before="120"/>
      <w:outlineLvl w:val="2"/>
    </w:pPr>
    <w:rPr>
      <w:sz w:val="28"/>
      <w:szCs w:val="28"/>
    </w:rPr>
  </w:style>
  <w:style w:type="paragraph" w:styleId="Heading4">
    <w:name w:val="heading 4"/>
    <w:basedOn w:val="Heading3"/>
    <w:next w:val="Normal"/>
    <w:qFormat/>
    <w:rsid w:val="00997BE3"/>
    <w:pPr>
      <w:numPr>
        <w:ilvl w:val="3"/>
      </w:numPr>
      <w:outlineLvl w:val="3"/>
    </w:pPr>
    <w:rPr>
      <w:sz w:val="24"/>
      <w:szCs w:val="24"/>
    </w:rPr>
  </w:style>
  <w:style w:type="paragraph" w:styleId="Heading5">
    <w:name w:val="heading 5"/>
    <w:basedOn w:val="Heading4"/>
    <w:next w:val="Normal"/>
    <w:qFormat/>
    <w:rsid w:val="00997BE3"/>
    <w:pPr>
      <w:numPr>
        <w:ilvl w:val="4"/>
      </w:numPr>
      <w:outlineLvl w:val="4"/>
    </w:pPr>
    <w:rPr>
      <w:sz w:val="22"/>
      <w:szCs w:val="22"/>
    </w:rPr>
  </w:style>
  <w:style w:type="paragraph" w:styleId="Heading6">
    <w:name w:val="heading 6"/>
    <w:basedOn w:val="Normal"/>
    <w:next w:val="Normal"/>
    <w:qFormat/>
    <w:rsid w:val="00997BE3"/>
    <w:pPr>
      <w:keepNext/>
      <w:keepLines/>
      <w:numPr>
        <w:ilvl w:val="5"/>
        <w:numId w:val="1"/>
      </w:numPr>
      <w:spacing w:before="120"/>
      <w:outlineLvl w:val="5"/>
    </w:pPr>
    <w:rPr>
      <w:rFonts w:cs="Arial"/>
    </w:rPr>
  </w:style>
  <w:style w:type="paragraph" w:styleId="Heading7">
    <w:name w:val="heading 7"/>
    <w:basedOn w:val="Normal"/>
    <w:next w:val="Normal"/>
    <w:qFormat/>
    <w:rsid w:val="00997BE3"/>
    <w:pPr>
      <w:keepNext/>
      <w:keepLines/>
      <w:numPr>
        <w:ilvl w:val="6"/>
        <w:numId w:val="1"/>
      </w:numPr>
      <w:spacing w:before="120"/>
      <w:outlineLvl w:val="6"/>
    </w:pPr>
    <w:rPr>
      <w:rFonts w:cs="Arial"/>
    </w:rPr>
  </w:style>
  <w:style w:type="paragraph" w:styleId="Heading8">
    <w:name w:val="heading 8"/>
    <w:basedOn w:val="Heading7"/>
    <w:next w:val="Normal"/>
    <w:qFormat/>
    <w:rsid w:val="00997BE3"/>
    <w:pPr>
      <w:numPr>
        <w:ilvl w:val="7"/>
      </w:numPr>
      <w:outlineLvl w:val="7"/>
    </w:pPr>
  </w:style>
  <w:style w:type="paragraph" w:styleId="Heading9">
    <w:name w:val="heading 9"/>
    <w:basedOn w:val="Heading8"/>
    <w:next w:val="Normal"/>
    <w:qFormat/>
    <w:rsid w:val="00997BE3"/>
    <w:pPr>
      <w:numPr>
        <w:ilvl w:val="8"/>
      </w:numPr>
      <w:outlineLvl w:val="8"/>
    </w:pPr>
  </w:style>
  <w:style w:type="character" w:default="1" w:styleId="DefaultParagraphFont">
    <w:name w:val="Default Paragraph Font"/>
    <w:uiPriority w:val="1"/>
    <w:semiHidden/>
    <w:unhideWhenUsed/>
    <w:rsid w:val="00997B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7BE3"/>
  </w:style>
  <w:style w:type="paragraph" w:styleId="TOC8">
    <w:name w:val="toc 8"/>
    <w:basedOn w:val="TOC1"/>
    <w:semiHidden/>
    <w:rsid w:val="00997BE3"/>
    <w:pPr>
      <w:spacing w:before="180"/>
      <w:ind w:left="2693" w:hanging="2693"/>
    </w:pPr>
    <w:rPr>
      <w:b w:val="0"/>
      <w:bCs/>
    </w:rPr>
  </w:style>
  <w:style w:type="paragraph" w:styleId="TOC1">
    <w:name w:val="toc 1"/>
    <w:aliases w:val="Observation TOC2"/>
    <w:uiPriority w:val="39"/>
    <w:rsid w:val="00997BE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97BE3"/>
    <w:pPr>
      <w:keepNext/>
      <w:keepLines/>
      <w:spacing w:before="180"/>
      <w:jc w:val="center"/>
    </w:pPr>
  </w:style>
  <w:style w:type="paragraph" w:styleId="Caption">
    <w:name w:val="caption"/>
    <w:basedOn w:val="Normal"/>
    <w:next w:val="Normal"/>
    <w:qFormat/>
    <w:rsid w:val="00997BE3"/>
    <w:pPr>
      <w:spacing w:after="240"/>
      <w:jc w:val="center"/>
    </w:pPr>
    <w:rPr>
      <w:b/>
      <w:bCs/>
    </w:rPr>
  </w:style>
  <w:style w:type="paragraph" w:styleId="TOC5">
    <w:name w:val="toc 5"/>
    <w:aliases w:val="Observation TOC"/>
    <w:basedOn w:val="TOC4"/>
    <w:semiHidden/>
    <w:rsid w:val="00997BE3"/>
    <w:pPr>
      <w:tabs>
        <w:tab w:val="right" w:pos="1701"/>
      </w:tabs>
      <w:ind w:left="1701" w:hanging="1701"/>
    </w:pPr>
  </w:style>
  <w:style w:type="paragraph" w:styleId="TOC4">
    <w:name w:val="toc 4"/>
    <w:basedOn w:val="TOC3"/>
    <w:semiHidden/>
    <w:rsid w:val="00997BE3"/>
    <w:pPr>
      <w:ind w:left="1418" w:hanging="1418"/>
    </w:pPr>
  </w:style>
  <w:style w:type="paragraph" w:styleId="TOC3">
    <w:name w:val="toc 3"/>
    <w:basedOn w:val="TOC2"/>
    <w:semiHidden/>
    <w:rsid w:val="00997BE3"/>
    <w:pPr>
      <w:ind w:left="1134" w:hanging="1134"/>
    </w:pPr>
  </w:style>
  <w:style w:type="paragraph" w:styleId="TOC2">
    <w:name w:val="toc 2"/>
    <w:basedOn w:val="TOC1"/>
    <w:semiHidden/>
    <w:rsid w:val="00997BE3"/>
    <w:pPr>
      <w:keepNext w:val="0"/>
      <w:spacing w:before="0"/>
      <w:ind w:left="851" w:hanging="851"/>
    </w:pPr>
    <w:rPr>
      <w:szCs w:val="20"/>
    </w:rPr>
  </w:style>
  <w:style w:type="paragraph" w:styleId="Index2">
    <w:name w:val="index 2"/>
    <w:basedOn w:val="Index1"/>
    <w:semiHidden/>
    <w:rsid w:val="00997BE3"/>
    <w:pPr>
      <w:ind w:left="284"/>
    </w:pPr>
  </w:style>
  <w:style w:type="paragraph" w:styleId="Index1">
    <w:name w:val="index 1"/>
    <w:basedOn w:val="Normal"/>
    <w:semiHidden/>
    <w:rsid w:val="00997BE3"/>
    <w:pPr>
      <w:keepLines/>
      <w:spacing w:after="0"/>
    </w:pPr>
  </w:style>
  <w:style w:type="paragraph" w:styleId="DocumentMap">
    <w:name w:val="Document Map"/>
    <w:basedOn w:val="Normal"/>
    <w:semiHidden/>
    <w:rsid w:val="00997BE3"/>
    <w:pPr>
      <w:shd w:val="clear" w:color="auto" w:fill="000080"/>
    </w:pPr>
    <w:rPr>
      <w:rFonts w:ascii="Tahoma" w:hAnsi="Tahoma" w:cs="Tahoma"/>
    </w:rPr>
  </w:style>
  <w:style w:type="paragraph" w:styleId="ListNumber2">
    <w:name w:val="List Number 2"/>
    <w:basedOn w:val="ListNumber"/>
    <w:rsid w:val="00997BE3"/>
    <w:pPr>
      <w:ind w:left="851"/>
    </w:pPr>
  </w:style>
  <w:style w:type="paragraph" w:styleId="ListNumber">
    <w:name w:val="List Number"/>
    <w:basedOn w:val="List"/>
    <w:rsid w:val="00997BE3"/>
  </w:style>
  <w:style w:type="paragraph" w:styleId="List">
    <w:name w:val="List"/>
    <w:basedOn w:val="Normal"/>
    <w:rsid w:val="00997BE3"/>
    <w:pPr>
      <w:ind w:left="568" w:hanging="284"/>
    </w:pPr>
  </w:style>
  <w:style w:type="paragraph" w:styleId="Header">
    <w:name w:val="header"/>
    <w:rsid w:val="00997BE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97BE3"/>
    <w:rPr>
      <w:b/>
      <w:bCs/>
      <w:position w:val="6"/>
      <w:sz w:val="16"/>
      <w:szCs w:val="16"/>
    </w:rPr>
  </w:style>
  <w:style w:type="paragraph" w:styleId="FootnoteText">
    <w:name w:val="footnote text"/>
    <w:basedOn w:val="Normal"/>
    <w:semiHidden/>
    <w:rsid w:val="00997BE3"/>
    <w:pPr>
      <w:keepLines/>
      <w:spacing w:after="0"/>
      <w:ind w:left="454" w:hanging="454"/>
    </w:pPr>
    <w:rPr>
      <w:sz w:val="16"/>
      <w:szCs w:val="16"/>
    </w:rPr>
  </w:style>
  <w:style w:type="paragraph" w:customStyle="1" w:styleId="3GPPHeader">
    <w:name w:val="3GPP_Header"/>
    <w:basedOn w:val="Normal"/>
    <w:rsid w:val="00997BE3"/>
    <w:pPr>
      <w:tabs>
        <w:tab w:val="left" w:pos="1701"/>
        <w:tab w:val="right" w:pos="9639"/>
      </w:tabs>
      <w:spacing w:after="240"/>
    </w:pPr>
    <w:rPr>
      <w:b/>
      <w:sz w:val="24"/>
    </w:rPr>
  </w:style>
  <w:style w:type="paragraph" w:styleId="TOC9">
    <w:name w:val="toc 9"/>
    <w:basedOn w:val="TOC8"/>
    <w:semiHidden/>
    <w:rsid w:val="00997BE3"/>
    <w:pPr>
      <w:ind w:left="1418" w:hanging="1418"/>
    </w:pPr>
  </w:style>
  <w:style w:type="paragraph" w:styleId="TOC6">
    <w:name w:val="toc 6"/>
    <w:basedOn w:val="TOC5"/>
    <w:next w:val="Normal"/>
    <w:semiHidden/>
    <w:rsid w:val="00997BE3"/>
    <w:pPr>
      <w:ind w:left="1985" w:hanging="1985"/>
    </w:pPr>
  </w:style>
  <w:style w:type="paragraph" w:styleId="TOC7">
    <w:name w:val="toc 7"/>
    <w:basedOn w:val="TOC6"/>
    <w:next w:val="Normal"/>
    <w:semiHidden/>
    <w:rsid w:val="00997BE3"/>
    <w:pPr>
      <w:ind w:left="2268" w:hanging="2268"/>
    </w:pPr>
  </w:style>
  <w:style w:type="paragraph" w:styleId="ListBullet2">
    <w:name w:val="List Bullet 2"/>
    <w:basedOn w:val="ListBullet"/>
    <w:rsid w:val="00997BE3"/>
    <w:pPr>
      <w:numPr>
        <w:numId w:val="6"/>
      </w:numPr>
    </w:pPr>
  </w:style>
  <w:style w:type="paragraph" w:styleId="ListBullet">
    <w:name w:val="List Bullet"/>
    <w:basedOn w:val="BodyText"/>
    <w:rsid w:val="00997BE3"/>
    <w:pPr>
      <w:numPr>
        <w:numId w:val="5"/>
      </w:numPr>
    </w:pPr>
  </w:style>
  <w:style w:type="paragraph" w:styleId="ListBullet3">
    <w:name w:val="List Bullet 3"/>
    <w:basedOn w:val="ListBullet2"/>
    <w:rsid w:val="00997BE3"/>
    <w:pPr>
      <w:numPr>
        <w:numId w:val="7"/>
      </w:numPr>
    </w:pPr>
  </w:style>
  <w:style w:type="paragraph" w:customStyle="1" w:styleId="EQ">
    <w:name w:val="EQ"/>
    <w:basedOn w:val="Normal"/>
    <w:next w:val="Normal"/>
    <w:rsid w:val="00997BE3"/>
    <w:pPr>
      <w:keepLines/>
      <w:tabs>
        <w:tab w:val="center" w:pos="4536"/>
        <w:tab w:val="right" w:pos="9072"/>
      </w:tabs>
      <w:spacing w:after="180"/>
      <w:jc w:val="left"/>
    </w:pPr>
    <w:rPr>
      <w:noProof/>
      <w:lang w:eastAsia="en-US"/>
    </w:rPr>
  </w:style>
  <w:style w:type="paragraph" w:styleId="List2">
    <w:name w:val="List 2"/>
    <w:basedOn w:val="List"/>
    <w:rsid w:val="00997BE3"/>
    <w:pPr>
      <w:ind w:left="851"/>
    </w:pPr>
  </w:style>
  <w:style w:type="paragraph" w:styleId="List3">
    <w:name w:val="List 3"/>
    <w:basedOn w:val="List2"/>
    <w:rsid w:val="00997BE3"/>
    <w:pPr>
      <w:ind w:left="1135"/>
    </w:pPr>
  </w:style>
  <w:style w:type="paragraph" w:styleId="List4">
    <w:name w:val="List 4"/>
    <w:basedOn w:val="List3"/>
    <w:rsid w:val="00997BE3"/>
    <w:pPr>
      <w:ind w:left="1418"/>
    </w:pPr>
  </w:style>
  <w:style w:type="paragraph" w:styleId="List5">
    <w:name w:val="List 5"/>
    <w:basedOn w:val="List4"/>
    <w:rsid w:val="00997BE3"/>
    <w:pPr>
      <w:ind w:left="1702"/>
    </w:pPr>
  </w:style>
  <w:style w:type="paragraph" w:customStyle="1" w:styleId="EditorsNote">
    <w:name w:val="Editor's Note"/>
    <w:basedOn w:val="Normal"/>
    <w:rsid w:val="00997BE3"/>
    <w:pPr>
      <w:keepLines/>
      <w:spacing w:after="180"/>
      <w:ind w:left="1135" w:hanging="851"/>
      <w:jc w:val="left"/>
    </w:pPr>
    <w:rPr>
      <w:color w:val="FF0000"/>
      <w:lang w:eastAsia="en-US"/>
    </w:rPr>
  </w:style>
  <w:style w:type="paragraph" w:styleId="ListBullet4">
    <w:name w:val="List Bullet 4"/>
    <w:basedOn w:val="ListBullet3"/>
    <w:rsid w:val="00997BE3"/>
    <w:pPr>
      <w:numPr>
        <w:numId w:val="8"/>
      </w:numPr>
    </w:pPr>
  </w:style>
  <w:style w:type="paragraph" w:styleId="ListBullet5">
    <w:name w:val="List Bullet 5"/>
    <w:basedOn w:val="ListBullet4"/>
    <w:rsid w:val="00997BE3"/>
    <w:pPr>
      <w:numPr>
        <w:numId w:val="4"/>
      </w:numPr>
    </w:pPr>
  </w:style>
  <w:style w:type="paragraph" w:styleId="Footer">
    <w:name w:val="footer"/>
    <w:basedOn w:val="Header"/>
    <w:semiHidden/>
    <w:rsid w:val="00997BE3"/>
    <w:pPr>
      <w:jc w:val="center"/>
    </w:pPr>
    <w:rPr>
      <w:i/>
      <w:iCs/>
    </w:rPr>
  </w:style>
  <w:style w:type="paragraph" w:customStyle="1" w:styleId="Reference">
    <w:name w:val="Reference"/>
    <w:basedOn w:val="Normal"/>
    <w:rsid w:val="00997BE3"/>
    <w:pPr>
      <w:numPr>
        <w:numId w:val="2"/>
      </w:numPr>
    </w:pPr>
  </w:style>
  <w:style w:type="paragraph" w:styleId="BalloonText">
    <w:name w:val="Balloon Text"/>
    <w:basedOn w:val="Normal"/>
    <w:semiHidden/>
    <w:rsid w:val="00997BE3"/>
    <w:rPr>
      <w:rFonts w:ascii="Tahoma" w:hAnsi="Tahoma" w:cs="Tahoma"/>
      <w:sz w:val="16"/>
      <w:szCs w:val="16"/>
    </w:rPr>
  </w:style>
  <w:style w:type="character" w:styleId="PageNumber">
    <w:name w:val="page number"/>
    <w:basedOn w:val="DefaultParagraphFont"/>
    <w:semiHidden/>
    <w:rsid w:val="00997BE3"/>
  </w:style>
  <w:style w:type="paragraph" w:styleId="BodyText">
    <w:name w:val="Body Text"/>
    <w:basedOn w:val="Normal"/>
    <w:link w:val="BodyTextChar"/>
    <w:rsid w:val="00997BE3"/>
  </w:style>
  <w:style w:type="character" w:styleId="Hyperlink">
    <w:name w:val="Hyperlink"/>
    <w:uiPriority w:val="99"/>
    <w:rsid w:val="00997BE3"/>
    <w:rPr>
      <w:color w:val="0000FF"/>
      <w:u w:val="single"/>
      <w:lang w:val="en-GB"/>
    </w:rPr>
  </w:style>
  <w:style w:type="character" w:styleId="FollowedHyperlink">
    <w:name w:val="FollowedHyperlink"/>
    <w:semiHidden/>
    <w:rsid w:val="00997BE3"/>
    <w:rPr>
      <w:color w:val="FF0000"/>
      <w:u w:val="single"/>
    </w:rPr>
  </w:style>
  <w:style w:type="character" w:styleId="CommentReference">
    <w:name w:val="annotation reference"/>
    <w:semiHidden/>
    <w:rsid w:val="00997BE3"/>
    <w:rPr>
      <w:sz w:val="16"/>
      <w:szCs w:val="16"/>
    </w:rPr>
  </w:style>
  <w:style w:type="paragraph" w:styleId="CommentText">
    <w:name w:val="annotation text"/>
    <w:basedOn w:val="Normal"/>
    <w:semiHidden/>
    <w:rsid w:val="00997BE3"/>
  </w:style>
  <w:style w:type="paragraph" w:styleId="CommentSubject">
    <w:name w:val="annotation subject"/>
    <w:basedOn w:val="CommentText"/>
    <w:next w:val="CommentText"/>
    <w:semiHidden/>
    <w:rsid w:val="00997BE3"/>
    <w:rPr>
      <w:b/>
      <w:bCs/>
    </w:rPr>
  </w:style>
  <w:style w:type="character" w:customStyle="1" w:styleId="Heading1Char">
    <w:name w:val="Heading 1 Char"/>
    <w:link w:val="Heading1"/>
    <w:rsid w:val="00997BE3"/>
    <w:rPr>
      <w:rFonts w:ascii="Arial" w:hAnsi="Arial" w:cs="Arial"/>
      <w:sz w:val="36"/>
      <w:szCs w:val="36"/>
      <w:lang w:val="en-GB" w:eastAsia="zh-CN"/>
    </w:rPr>
  </w:style>
  <w:style w:type="paragraph" w:customStyle="1" w:styleId="B1">
    <w:name w:val="B1"/>
    <w:basedOn w:val="List"/>
    <w:rsid w:val="00997BE3"/>
    <w:pPr>
      <w:spacing w:after="180"/>
      <w:jc w:val="left"/>
    </w:pPr>
    <w:rPr>
      <w:lang w:eastAsia="en-US"/>
    </w:rPr>
  </w:style>
  <w:style w:type="paragraph" w:customStyle="1" w:styleId="B2">
    <w:name w:val="B2"/>
    <w:basedOn w:val="List2"/>
    <w:rsid w:val="00997BE3"/>
    <w:pPr>
      <w:spacing w:after="180"/>
      <w:jc w:val="left"/>
    </w:pPr>
    <w:rPr>
      <w:lang w:eastAsia="en-US"/>
    </w:rPr>
  </w:style>
  <w:style w:type="paragraph" w:customStyle="1" w:styleId="B3">
    <w:name w:val="B3"/>
    <w:basedOn w:val="List3"/>
    <w:rsid w:val="00997BE3"/>
    <w:pPr>
      <w:spacing w:after="180"/>
      <w:jc w:val="left"/>
    </w:pPr>
    <w:rPr>
      <w:lang w:eastAsia="en-US"/>
    </w:rPr>
  </w:style>
  <w:style w:type="paragraph" w:customStyle="1" w:styleId="B4">
    <w:name w:val="B4"/>
    <w:basedOn w:val="List4"/>
    <w:rsid w:val="00997BE3"/>
    <w:pPr>
      <w:spacing w:after="180"/>
      <w:jc w:val="left"/>
    </w:pPr>
    <w:rPr>
      <w:lang w:eastAsia="en-US"/>
    </w:rPr>
  </w:style>
  <w:style w:type="paragraph" w:customStyle="1" w:styleId="Proposal">
    <w:name w:val="Proposal"/>
    <w:basedOn w:val="Normal"/>
    <w:rsid w:val="00997BE3"/>
    <w:pPr>
      <w:numPr>
        <w:numId w:val="3"/>
      </w:numPr>
      <w:tabs>
        <w:tab w:val="clear" w:pos="1304"/>
        <w:tab w:val="left" w:pos="1701"/>
      </w:tabs>
      <w:ind w:left="1701" w:hanging="1701"/>
    </w:pPr>
    <w:rPr>
      <w:b/>
      <w:bCs/>
    </w:rPr>
  </w:style>
  <w:style w:type="character" w:customStyle="1" w:styleId="BodyTextChar">
    <w:name w:val="Body Text Char"/>
    <w:link w:val="BodyText"/>
    <w:rsid w:val="00997BE3"/>
    <w:rPr>
      <w:rFonts w:ascii="Arial" w:hAnsi="Arial"/>
      <w:lang w:val="en-GB" w:eastAsia="zh-CN"/>
    </w:rPr>
  </w:style>
  <w:style w:type="paragraph" w:customStyle="1" w:styleId="B5">
    <w:name w:val="B5"/>
    <w:basedOn w:val="List5"/>
    <w:rsid w:val="00997BE3"/>
    <w:pPr>
      <w:spacing w:after="180"/>
      <w:jc w:val="left"/>
    </w:pPr>
    <w:rPr>
      <w:lang w:eastAsia="en-US"/>
    </w:rPr>
  </w:style>
  <w:style w:type="paragraph" w:customStyle="1" w:styleId="EX">
    <w:name w:val="EX"/>
    <w:basedOn w:val="Normal"/>
    <w:rsid w:val="00997BE3"/>
    <w:pPr>
      <w:keepLines/>
      <w:spacing w:after="180"/>
      <w:ind w:left="1702" w:hanging="1418"/>
      <w:jc w:val="left"/>
    </w:pPr>
    <w:rPr>
      <w:lang w:eastAsia="en-US"/>
    </w:rPr>
  </w:style>
  <w:style w:type="paragraph" w:customStyle="1" w:styleId="EW">
    <w:name w:val="EW"/>
    <w:basedOn w:val="EX"/>
    <w:rsid w:val="00997BE3"/>
    <w:pPr>
      <w:spacing w:after="0"/>
    </w:pPr>
  </w:style>
  <w:style w:type="paragraph" w:customStyle="1" w:styleId="TAL">
    <w:name w:val="TAL"/>
    <w:basedOn w:val="Normal"/>
    <w:rsid w:val="00997BE3"/>
    <w:pPr>
      <w:keepNext/>
      <w:keepLines/>
      <w:spacing w:after="0"/>
      <w:jc w:val="left"/>
    </w:pPr>
    <w:rPr>
      <w:sz w:val="18"/>
      <w:lang w:eastAsia="en-US"/>
    </w:rPr>
  </w:style>
  <w:style w:type="paragraph" w:customStyle="1" w:styleId="TAC">
    <w:name w:val="TAC"/>
    <w:basedOn w:val="TAL"/>
    <w:rsid w:val="00997BE3"/>
    <w:pPr>
      <w:jc w:val="center"/>
    </w:pPr>
  </w:style>
  <w:style w:type="paragraph" w:customStyle="1" w:styleId="TAH">
    <w:name w:val="TAH"/>
    <w:basedOn w:val="TAC"/>
    <w:rsid w:val="00997BE3"/>
    <w:rPr>
      <w:b/>
    </w:rPr>
  </w:style>
  <w:style w:type="paragraph" w:customStyle="1" w:styleId="TAN">
    <w:name w:val="TAN"/>
    <w:basedOn w:val="TAL"/>
    <w:rsid w:val="00997BE3"/>
    <w:pPr>
      <w:ind w:left="851" w:hanging="851"/>
    </w:pPr>
  </w:style>
  <w:style w:type="paragraph" w:customStyle="1" w:styleId="TAR">
    <w:name w:val="TAR"/>
    <w:basedOn w:val="TAL"/>
    <w:rsid w:val="00997BE3"/>
    <w:pPr>
      <w:jc w:val="right"/>
    </w:pPr>
  </w:style>
  <w:style w:type="paragraph" w:customStyle="1" w:styleId="TH">
    <w:name w:val="TH"/>
    <w:basedOn w:val="Normal"/>
    <w:rsid w:val="00997BE3"/>
    <w:pPr>
      <w:keepNext/>
      <w:keepLines/>
      <w:spacing w:before="60" w:after="180"/>
      <w:jc w:val="center"/>
    </w:pPr>
    <w:rPr>
      <w:b/>
      <w:lang w:eastAsia="en-US"/>
    </w:rPr>
  </w:style>
  <w:style w:type="paragraph" w:customStyle="1" w:styleId="TF">
    <w:name w:val="TF"/>
    <w:basedOn w:val="TH"/>
    <w:rsid w:val="00997BE3"/>
    <w:pPr>
      <w:keepNext w:val="0"/>
      <w:spacing w:before="0" w:after="240"/>
    </w:pPr>
  </w:style>
  <w:style w:type="paragraph" w:customStyle="1" w:styleId="TT">
    <w:name w:val="TT"/>
    <w:basedOn w:val="Heading1"/>
    <w:next w:val="Normal"/>
    <w:rsid w:val="00997BE3"/>
    <w:pPr>
      <w:numPr>
        <w:numId w:val="0"/>
      </w:numPr>
      <w:ind w:left="1134" w:hanging="1134"/>
      <w:outlineLvl w:val="9"/>
    </w:pPr>
    <w:rPr>
      <w:rFonts w:cs="Times New Roman"/>
      <w:szCs w:val="20"/>
      <w:lang w:eastAsia="en-US"/>
    </w:rPr>
  </w:style>
  <w:style w:type="paragraph" w:customStyle="1" w:styleId="ZA">
    <w:name w:val="ZA"/>
    <w:rsid w:val="00997B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7B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7BE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7BE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7BE3"/>
  </w:style>
  <w:style w:type="paragraph" w:customStyle="1" w:styleId="ZH">
    <w:name w:val="ZH"/>
    <w:rsid w:val="00997BE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7B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7BE3"/>
    <w:pPr>
      <w:framePr w:hRule="auto" w:wrap="notBeside" w:y="852"/>
    </w:pPr>
    <w:rPr>
      <w:i w:val="0"/>
      <w:sz w:val="40"/>
    </w:rPr>
  </w:style>
  <w:style w:type="paragraph" w:customStyle="1" w:styleId="ZU">
    <w:name w:val="ZU"/>
    <w:rsid w:val="00997B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7BE3"/>
    <w:pPr>
      <w:framePr w:wrap="notBeside" w:y="16161"/>
    </w:pPr>
  </w:style>
  <w:style w:type="paragraph" w:customStyle="1" w:styleId="FP">
    <w:name w:val="FP"/>
    <w:basedOn w:val="Normal"/>
    <w:rsid w:val="00997BE3"/>
    <w:pPr>
      <w:spacing w:after="0"/>
      <w:jc w:val="left"/>
    </w:pPr>
    <w:rPr>
      <w:lang w:eastAsia="en-US"/>
    </w:rPr>
  </w:style>
  <w:style w:type="paragraph" w:customStyle="1" w:styleId="Observation">
    <w:name w:val="Observation"/>
    <w:basedOn w:val="Proposal"/>
    <w:qFormat/>
    <w:rsid w:val="00997BE3"/>
    <w:pPr>
      <w:numPr>
        <w:numId w:val="13"/>
      </w:numPr>
      <w:ind w:left="1701" w:hanging="1701"/>
    </w:pPr>
  </w:style>
  <w:style w:type="paragraph" w:styleId="TableofFigures">
    <w:name w:val="table of figures"/>
    <w:basedOn w:val="Normal"/>
    <w:next w:val="Normal"/>
    <w:uiPriority w:val="99"/>
    <w:rsid w:val="00997BE3"/>
    <w:pPr>
      <w:ind w:left="1418" w:hanging="1418"/>
      <w:jc w:val="left"/>
    </w:pPr>
    <w:rPr>
      <w:b/>
    </w:rPr>
  </w:style>
  <w:style w:type="paragraph" w:customStyle="1" w:styleId="Doc-text2">
    <w:name w:val="Doc-text2"/>
    <w:basedOn w:val="Normal"/>
    <w:link w:val="Doc-text2Char"/>
    <w:qFormat/>
    <w:rsid w:val="00997B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97BE3"/>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3605D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04853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496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5NUHHDQN7SK2-1-182600</_dlc_DocId>
    <_dlc_DocIdUrl xmlns="08b2df90-05d3-4030-90d4-c9feeb4a1cd9">
      <Url>https://ericoll.internal.ericsson.com/sites/star/_layouts/DocIdRedir.aspx?ID=5NUHHDQN7SK2-1-182600</Url>
      <Description>5NUHHDQN7SK2-1-182600</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AC0972B1-4C47-48B2-972D-873D03960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3</Pages>
  <Words>776</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eedhwm</dc:creator>
  <cp:keywords>Ericsson; TDoc; 3GPP</cp:keywords>
  <cp:lastModifiedBy>eedhwm</cp:lastModifiedBy>
  <cp:revision>41</cp:revision>
  <cp:lastPrinted>2008-01-31T16:09:00Z</cp:lastPrinted>
  <dcterms:created xsi:type="dcterms:W3CDTF">2017-09-26T11:58:00Z</dcterms:created>
  <dcterms:modified xsi:type="dcterms:W3CDTF">2017-09-28T21:32:00Z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2017-09-27T22:00:00Z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0d7d09ca-6505-4b43-8ab0-d0767b30bbb5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